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bookmarkStart w:id="2" w:name="_GoBack"/>
      <w:bookmarkEnd w:id="2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E5160D" w:rsidRPr="00E5160D" w:rsidRDefault="00E5160D" w:rsidP="00E5160D">
      <w:pPr>
        <w:tabs>
          <w:tab w:val="left" w:pos="567"/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60D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E5160D" w:rsidRPr="00E5160D" w:rsidRDefault="00E5160D" w:rsidP="00E5160D">
      <w:p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-284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160D">
        <w:rPr>
          <w:rFonts w:ascii="Times New Roman" w:eastAsia="Times New Roman" w:hAnsi="Times New Roman"/>
          <w:b/>
          <w:sz w:val="24"/>
          <w:szCs w:val="24"/>
          <w:lang w:eastAsia="ru-RU"/>
        </w:rPr>
        <w:t>на оказание услуг по проведению экспертизы промышленной безопасности технологических трубопроводов, технических устройств, зданий и сооружений на ОПО Склад ГСМ № 1, / А01-12025-0002/,</w:t>
      </w:r>
      <w:r w:rsidRPr="00E5160D">
        <w:rPr>
          <w:sz w:val="24"/>
          <w:szCs w:val="24"/>
        </w:rPr>
        <w:t xml:space="preserve"> </w:t>
      </w:r>
      <w:r w:rsidRPr="00E516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ОПО Склад ГСМ № 2, / А01-12025-0003/, ОПО Группа резервуаров и сливо-наливных устройств /АО 1 -12025-0004/ располагающихся по адресу: </w:t>
      </w:r>
    </w:p>
    <w:p w:rsidR="00E5160D" w:rsidRPr="00E5160D" w:rsidRDefault="00E5160D" w:rsidP="00E5160D">
      <w:p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-284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16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Москва, Заводское шоссе, дом 2, Заводское шоссе, дом16, техническая зона, </w:t>
      </w:r>
    </w:p>
    <w:p w:rsidR="00E5160D" w:rsidRPr="00E5160D" w:rsidRDefault="00E5160D" w:rsidP="00E5160D">
      <w:p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-284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16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Аэропорт «Внуково». </w:t>
      </w:r>
    </w:p>
    <w:tbl>
      <w:tblPr>
        <w:tblStyle w:val="6"/>
        <w:tblW w:w="9634" w:type="dxa"/>
        <w:tblLayout w:type="fixed"/>
        <w:tblLook w:val="04A0" w:firstRow="1" w:lastRow="0" w:firstColumn="1" w:lastColumn="0" w:noHBand="0" w:noVBand="1"/>
      </w:tblPr>
      <w:tblGrid>
        <w:gridCol w:w="487"/>
        <w:gridCol w:w="2060"/>
        <w:gridCol w:w="7087"/>
      </w:tblGrid>
      <w:tr w:rsidR="00E5160D" w:rsidRPr="00E5160D" w:rsidTr="00E5440B">
        <w:trPr>
          <w:trHeight w:val="439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Заказчик (эксплуатирующая организация)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Акционерное Общество «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Топливо-заправочный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сервис».</w:t>
            </w:r>
          </w:p>
        </w:tc>
      </w:tr>
      <w:tr w:rsidR="00E5160D" w:rsidRPr="00E5160D" w:rsidTr="00E5440B">
        <w:trPr>
          <w:trHeight w:val="429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Экспертиза промышленной безопасности технологических трубопроводов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устройств. /АО 1 -12025-0004/.</w:t>
            </w:r>
          </w:p>
        </w:tc>
      </w:tr>
      <w:tr w:rsidR="00E5160D" w:rsidRPr="00E5160D" w:rsidTr="00271444">
        <w:trPr>
          <w:trHeight w:val="1639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Место выполнения работ (оказания услуг)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Москва, склад ГСМ-1, Заводское шоссе, дом 2, склад ГСМ-2, Заводское шоссе, дом 16, Группа резервуаров и сливо-наливных устройств, техническая зона, Аэропорт «Внуково»: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опасный производственный объект (на основании ФЗ-116 от 21.07.1997г.);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особо опасный, технически сложный объект (на основании ст.48.1 ГК РФ);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склад горюче-смазочных материалов;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объект транспортной инфраструктуры.</w:t>
            </w:r>
          </w:p>
        </w:tc>
      </w:tr>
      <w:tr w:rsidR="00E5160D" w:rsidRPr="00E5160D" w:rsidTr="00E5440B">
        <w:trPr>
          <w:trHeight w:val="841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Пропускной режим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Пропускной режим на объекты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технической зоны Аэропорта «Внуково» и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Оформление временных пропусков на объекты АО «ТЗС» для лиц, выполняющих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 436-23-70.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Исполнитель самостоятельно в установленном порядке и за свой счет должен проходить процедуру оформления пропусков для своих сотрудников, а также на автотранспорт и ввозимые материалы в техническую зону, Аэропорта «Внуково».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Требования по оформлению пропусков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техническую зону, Аэропорта «Внуково» необходимо уточнить по телефону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8 (495) 436-21-02 (до момента подачи заявки для участия в тендере).                                                                                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Пропуска оформляются в едином окне по адресу: пос. Внуково, ул. Центральная д. 2 (1 этаж, здание бывшей гостиницы) с 8-30 до 13-00.                                                                         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выполнения работ (оказания услуг)</w:t>
            </w:r>
          </w:p>
        </w:tc>
        <w:tc>
          <w:tcPr>
            <w:tcW w:w="7087" w:type="dxa"/>
            <w:vAlign w:val="center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выполнения Работ Подрядчиком составляет 120 (сто двадцать) календарных дней с даты подписания Договора сторонами. 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7087" w:type="dxa"/>
            <w:vAlign w:val="center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требования к выполнению работ (оказанию услуг)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• Исполнитель обязан обеспечить неукоснительное исполнение требований, установленных в локальных нормативных документах Заказчика в области </w:t>
            </w: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промышленной безопасности, охраны труда и окружающей среды, </w:t>
            </w:r>
            <w:proofErr w:type="spellStart"/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пропускного режима при оказании услуг на территории Заказчика.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•    </w:t>
            </w:r>
            <w:proofErr w:type="gramStart"/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объем работ Исполнителем должны быть включены все мероприятия по подготовке объектов экспертизы к экспертизе промышленной безопасности.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Работы по подготовке объектов экспертизы к неразрушающему контролю (в том числе разработка шурфов с последующим благоустройством территории), проведению неразрушающего контроля проводит Исполнитель.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Работы по изготовлению и восстановлению окон в изоляции, места зачистки лакокрасочного покрытия для замера толщины стенок и ультразвукового контроля сварных швов и восстановление лакокрасочного покрытия в местах замера проводит Исполнитель.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Характеристики выполняемых работ (оказываемых услуг)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Провести экспертизу промышленной безопасности на ОПО Склад ГСМ № 1. / А01-12025-0002/: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Технологические трубопроводы обвязки резервуарного парка №1, инв. № 000000034: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426 х 10,0 мм, длина 11,92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377 х 10,0 мм, длина 49,68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273 х 8,0 мм, длина 310,22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159 х 6,0 мм, длина 3,31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57 х 3,5 мм, длина 3,8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32 х 3,5 мм, длина 3,8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Технологический трубопровод от резервуарного парка №1 до насосной станции, инв. № 000000034: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273 х 8,0 мм, длина 24,17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219 х 7,0 мм, длина 75,14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159 х 6,0 мм, длина 10,74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108 х 5,0 мм, длина 3,86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89 х 4,5 мм, длина 2,86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32 х 3,5 мм, длина 0,36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Технологический трубопровод </w:t>
            </w:r>
            <w:proofErr w:type="gramStart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 резервуарного парка склада</w:t>
            </w:r>
            <w:proofErr w:type="gramEnd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ГСМ №2 до фильтрационной станции склада ГСМ №1 (</w:t>
            </w:r>
            <w:proofErr w:type="spellStart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межскладской</w:t>
            </w:r>
            <w:proofErr w:type="spellEnd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трубопровод ГСМ№1-ГСМ№2), инв. № 000000034: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273 х 8,0 мм, длина 3996,95 м;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159 х 6,0 мм, длина 81,33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Трубопровод обвязки от фильтрационной до резервуарного парка,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инв. № 000000034: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273 х 8,0 мм, длина 302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108 х 5,0 мм, длина 9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89 х 4,5 мм, длина 0,54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57 х 3,5 мм, длина 0,2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Насос центробежный марки ЦСП-57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заводской №166, технологический №5, инв. №3329.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Здание насосной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инв. №162.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Здание фильтрационной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инв. №000000037.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Провести экспертизу промышленной безопасности на ОПО Группа резервуаров и сливо-наливных устройств. /АО 1 -12025-0004/: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Технологические трубопроводы </w:t>
            </w:r>
            <w:proofErr w:type="spellStart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предперронного</w:t>
            </w:r>
            <w:proofErr w:type="spellEnd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пункта налива, инв. № 0000000303: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219 х 7,0 мм, длина 24,54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219 х 7,0 мм, длина 1107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159 х 6,0 мм, длина 163,8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108 х 5,0 мм, длина 41,2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наземный со стальной запорной арматурой Ø 89 х 4,5 мм, длина 1,02 м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Технологические трубопроводы обвязки группы резервуаров и сливо-наливных устройств АЗС</w:t>
            </w:r>
            <w:r w:rsidRPr="00E5160D">
              <w:rPr>
                <w:b/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инв. №000000129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Трубопровод стальной, подземный со стальной запорной арматурой Ø 76 х 4,0 мм, длина 250 м.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Резервуар РГС-15, №32 по технологической схеме, инв. №214.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Резервуар РГСн-50, №27 по технологической схеме, (</w:t>
            </w:r>
            <w:proofErr w:type="spellStart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противоводокристаллизационная</w:t>
            </w:r>
            <w:proofErr w:type="spellEnd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жидкость «</w:t>
            </w:r>
            <w:proofErr w:type="gramStart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И-М</w:t>
            </w:r>
            <w:proofErr w:type="gramEnd"/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»), инв. №215.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Выполнить экспертизу промышленной безопасности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технологических трубопроводов, технических устройств зданий и сооружений, эксплуатируемых на опасных производственных объектах АО «ТЗС» в соответствии с требованиями нормативных документов, действующих на территории РФ на момент проведения экспертизы.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технологическим трубопроводам: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Организационно-аналитические работы: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Провести анализ имеющейся технической документации (проектной, исполнительной, эксплуатационной, ремонтной), паспортов и фактического исполнения,  схем и режимов работы диагностируемого оборудования, основных характеристиках используемого продукта, о составе и геометрических параметрах технологических трубопроводов, фактических условий эксплуатации, об изменениях в конструкции технологических трубопроводов, о ремонтах и испытаниях технологических трубопроводов, о результатах предыдущих освидетельствований и экспертиз технического диагностирования технологических трубопроводов, об авариях и инцидентах на технологических трубопроводах и др.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Выбрать оптимальную совокупность методик и аппаратуры для эффективного обследования оборудования.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Составить Программу проведения ЭПБ в соответствии с видом диагностического обследования и согласовать ее с Заказчиком.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Оценить фактические условия технического состояния технологических трубопроводов с выездом на место.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Провести анализ имеющейся аппаратуры и методической базы с целью определения их применимости и эффективности в условиях фактического состояния технологических трубопроводов.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Провести анализ возможных повреждающих оборудование процессов, способных наиболее быстро перевести оборудование в предельное состояние.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Для каждого повреждающего процесса определить критерии перехода оборудования в предельное состояние.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Оценить возможность коррозионно-эрозионного повреждения технологических трубопроводов на основании данных о предыдущих исследованиях, имевших место авариях и инцидентах на оборудовании.  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Полевые работы: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Определение планового положения, глубины заложения технологических трубопроводов.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• Определение технического состояния технологических трубопроводов (визуальный осмотр), функциональная диагностика. Контроль геометрического состояния.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Наружный и внутренний осмотр, визуально-измерительный контроль.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Контроль соответствия системы автоматизации требованиям Правил.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Неразрушающий контроль качества сварных соединений,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толщинометрия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Неразрушающий контроль проникающими веществами сварных соединений и основного металла в районе присоединения штуцеров сосудов и аппаратов.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Неразрушающий контроль всех штуцеров и бобышек независимо от диаметра.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Оценка механических свойств основного металла и сварных соединений.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коррозионных исследований.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Анализ результатов технического диагностирования и проведение расчетов на прочность.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Анализ повреждений и параметров технического состояния и установление критериев предельного состояния.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Проведение уточненных расчетов на прочность.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Определение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отбраковочных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толщин.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Определение остаточного ресурса.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Гидравлические испытания (обеспечиваются Заказчиком).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Проверка всех крепежных элементов технических устройств и технологических трубопроводов на соответствие требованиям проекта и нормативно-технической документации.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Наружный и, при необходимости, внутренний осмотр, визуально-измерительный контроль запорной, регулирующей и предохранительной арматуры, установленной на технологических трубопроводах.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Осмотр фланцевых соединений, крепежных элементов запорной, регулирующей и предохранительной арматуры.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На основании визуально-измерительного контроля, результатов ультразвуковой дефектоскопии и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толщинометрии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заявленных наиболее поврежденных участков определить фактические геометрические параметры дефектов.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обнаружении дефектов определить границы и протяженность отбракованных участков.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выявлении несоответствий и дефектов, препятствующих выдаче положительного заключения, выдача рекомендаций по устранению.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Расчетно-аналитические работы: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Выполнить ЭПБ, ТО, ТД и ревизии в соответствии с требованиями нормативно-технической документации в области промышленной безопасности, государственных и отраслевых стандартов, технических условий и других документов, регламентирующих порядок выполнения работ по отдельным видам оборудования.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Разработать и предоставить в период технического диагностирования акты отбраковки, письменные рекомендации или технические решения по устранению дефектов или несоответствий, выявленных в ходе проведения ЭПБ (с подробным описанием методов устранения и технологическими указаниями на ремонт с применением сварочных технологий).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выявления дефектов обеспечить увеличение объема неразрушающего контроля для полноты и достоверности результатов экспертизы промышленной безопасности.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несоответствия фактического исполнения технического устройства чертежам, приложенным к паспорту изготовить чертежи в соответствии с действующей нормативно-технической документации.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изменения рабочих параметров технических устройств, требуемых для технологических процессов – произвести необходимые расчеты, внести изменения в паспорте со ссылкой на заключение экспертизы промышленной безопасности.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выявления несоответствий, препятствующих выдачи положительного заключения ЭПБ, обеспечить уведомление в срок не более десяти календарных дней с момента выявления факта и предоставить обоснованное пояснение для принятия решения и перечень мероприятий по приведению объекта в соответствие с требованиями нормативных документов.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• На основании результатов расчета индивидуальных остаточных ресурсов наиболее повреждённых участков технологических трубопроводов рассчитать и задать назначенный ресурс дальнейшей эксплуатации.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Выдача дефектной ведомости в сроки, установленные процессом проведения ЭПБ.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Составление и утверждение заключения экспертизы промышленной безопасности (ЭПБ).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зданиям и сооружениям: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Провести анализ технической документации (проектной, исполнительной, эксплуатационной, ремонтной), результатов осмотров, предыдущих обследований и экспертиз зданий (сооружений).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Выявить (уточнить) условия эксплуатационных воздействий и нагрузок.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Оценить степень влияния гидрологических аэрологических и атмосферных воздействий; оценка условий эксплуатации конструкций (наличие температурных, динамических и сейсмических воздействий с учетом района расположения объекта обследования). Рассмотрение фактических воздействий на основные конструкции, сбор сведений по нагрузкам.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Проверка состояния конструкций.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Определение соответствия строительных конструкций зданий и сооружений документации и требованиям действующих нормативных документов, выявление дефектов и повреждений элементов и узлов конструкций с составлением ведомостей дефектов и повреждений.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Предварительный осмотр конструкций, определение мест отбора проб материала для методов разрушающего контроля (при необходимости), мест вскрытия фундаментов, кровли и перекрытий (при необходимости) с составлением исполнительных схем.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Проведение обмерных работ по основным конструкциям и соединением; определение фактических размеров сечений конструкций и соединений; проверка соответствия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простран-ственного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положения конструкций: основные габаритные размеры, пролеты, высотные отметки, привязки к разбивочным осям и т.п.; инструментальная проверка отклонения конструкций от вертикального и горизонтального положения; проверка наличия необходимых связей и других элементов, обеспечивающих жесткость и устойчивость каркаса здания или сооружения. Проверка соответствия фактических значений действующим строительным нормам объекта экспертизы.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Визуальный и инструментальный контроль для выявления наличия и степени опасности дефектов и повреждений несущих конструкций. Установление фактических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физико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–механических свойств материалов основных конструктивных элементов, в сравнении с проектными параметрами. Определение степени коррозии арматуры и металлических элементов строительных конструкций (при наличии). Проверка состояния антикоррозийной защиты стальных конструкций, проверка состояния огнезащиты основных несущих строительных конструкций при помощи сертифицированного оборудования. Оценка соответствия площади и весовых характеристик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легкосбрасываемых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конструкций требуемой величине, обеспечивающей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взрывоустойчивость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объекта (при наличии). Подготовку поверхности к неразрушающему контролю проводит Исполнитель.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Проведение дополнительных исследований конструкций, включая определение динамических характеристик (при необходимости).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Отбор проб для установления механических характеристик материала (при необходимости), для установления химического состава материала (при необходимости). Установление характеристик материала по отобранным пробам.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• Исследование фундаментов.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Проведение дополнительных испытаний материалов (при необходимости), требуемых для оценки возможности дальнейшей безопасной эксплуатации здания, сооружения.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Составление ведомости дефектов и повреждений с указанием их местоположения (составлением схем), характера дефектов, объема. Разработка рекомендаций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по устранению дефектов и повреждений, усилению конструкций.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Проведение поверочных расчетов с учетом фактических и (или) прогнозируемых нагрузок, фактических характеристик материалов и действительного состояния конструкций (с учетом выявленных дефектов и повреждений).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Проведение расчёта остаточного ресурса с учётом фактического состояния конструкций.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Внесение в паспорта зданий и сооружений записей о проведении экспертизы с указанием остаточного срока службы (при необходимости).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отсутствии, недостаточности, актуализации имеющейся рабочей (проектной) документации на объект проведения экспертизы, данных о свойствах материалов и других необходимых данных, информация актуализируется (на основании результатов измерительного контроля) Исполнителем и передается Заказчику.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отсутствии паспортов на здания и сооружения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Составление и утверждение заключения экспертизы промышленной безопасности (ЭПБ).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резервуарам: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Анализ эксплуатационно-технической документации и ее комплектности. Разработка программы и подготовительные работы, в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анализ документации.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Визуальный осмотр и измерение размеров элементов металлоконструкций резервуара с наружной и внутренней стороны.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Полевые работы 1 этапа: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контроль монтажных сварных швов;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контроль листов и сварных соединений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контроль на герметичность листов и сварных соединений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измерение толщины стенки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измерение толщины антикоррозионного покрытия стенки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измерение твердости листов стенки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поиск трещин электромагнитным индикатором трещин;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определение марки стали (при необходимости);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проверку технического состояния и работоспособности оборудований резервуара;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проверку молниеотводов и заземления;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определение механических характеристик;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металлографические исследования;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оценка коррозии, износа и других дефектов (при их наличии).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отсутствии паспортов на резервуары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Составление и утверждение заключения экспертизы промышленной безопасности (ЭПБ).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насосам: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Анализ эксплуатационной, конструкторской (проектной) и ремонтной документации насосов.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Неразрушающий контроль деталей.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Определение механических характеристик.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Металлографические исследования (при необходимости).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Определение химического состава материалов (при необходимости).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Оценка коррозии, износа и других дефектов.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Расчетно-аналитические процедуры оценки и прогнозирования технического состояния, включающие: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расчет режимов работы;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установление критериев предельного состояния;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исследование напряженно-деформированного состояния и выбора критериев предельных состояний;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оценка остаточного ресурса и срока безопасной эксплуатации.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Испытания на прочность, плотность и герметичность.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При отсутствии паспортов на насосы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и утверждение заключения экспертизы промышленной безопасности (ЭПБ).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Оформление положительных заключений экспертизы промышленной безопасности о возможности и условиях дальнейшей безопасной эксплуатации.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Передача оформленных надлежащим образом положительных заключений экспертизы</w:t>
            </w:r>
            <w:r w:rsidRPr="00E5160D">
              <w:rPr>
                <w:sz w:val="20"/>
                <w:szCs w:val="20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промышленной безопасности в Федеральную службу по экологическому, технологическому и атомному надзору (территориальный орган) для внесения их в Реестр заключений экспертизы промышленной безопасности.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Сопровождение внесения положительных заключений экспертизы промышленной безопасности в реестр заключений экспертизы промышленной безопасности в Федеральной службе по экологическому, технологическому и атомному надзору (территориальном органе).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Передача Заказчику заключений экспертизы промышленной безопасности и уведомлений о внесении сведений в Реестр заключений экспертизы промышленной безопасности.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применению опциона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требуется.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Гарантийные обязательства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Подрядчик гарантирует качество выполняемых Работ в соответствии с требованиями, указанными в пункте 6. Договора.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• 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требования к организации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Обязательное наличие действующей лицензии Федеральной службы по экологическому, технологическому и атомному надзору на право выполнения экспертизы промышленной безопасности (виды экспертизы ТУ (технические устройства), ЗС (здания и сооружения) на опасном производственном объекте.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Обязательное наличие экспертов, привлекаемых для проведения экспертизы промышленной безопасности по направлениям: Э8ТУ, Э8ЗС в количестве 2 по каждому виду экспертизы аттестованных, имеющих стаж работы экспертов (не менее 5 лет) в соответствии с требованиями пункта 10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 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Наличие аккредитованной лаборатории неразрушающего контроля (Свидетельство об аккредитации), в соответствии с требованиями Приказа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01.12.2020 года №478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 и  СДАНК-01-2020 «Правила аттестации лабораторий неразрушающего контроля», разработанный и принятый Наблюдательным советом Единой системы оценки соответствия, либо действующего договора с соответствующей лабораторией.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      Рекомендуется сертификация по ISO 9001:2008 (Системы менеджмента качества. Требования.), ISO 14001:2004 (Системы экологического менеджмента. Требования и руководство к их применению.), OHSAS 18001:2007 (Системы менеджмента охраны здоровья и обеспечения безопасности труда. Требования.).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    Наличие штатных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дефектоскопистов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ниже II уровня по каждому виду неразрушающего контроля ВИК- (визуально измерительный контроль), УЗК - (ультразвуковая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толщинометрия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Документы представляются на этапе выставления коммерческого предложения.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Наличие опыта проведения экспертизы промышленной безопасности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Наличие документов, паспортов на измерительные приборы, которые будут использоваться при проведении ЭПБ. 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C7023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исполнителю выполняемых работ (оказываемых услуг)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пропускного режима (при оказании услуг на территории Заказчика).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C7023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Опыт работы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Опыт работы в области экспертизы промышленной безопасности нефтепродуктопроводов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C7023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квалификации персонала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Обязательное наличие документов, подтверждающих квалификацию экспертов, привлекаемых для проведения экспертизы промышленной безопасности по направлениям: Э8ТУ, Э8ЗС в количестве 2 по каждому виду экспертизы.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Обязательное наличие документов, подтверждающих квалификацию штатных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дефектоскопистов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ниже II уровня по каждому виду неразрушающего контроля необходимому для проведения экспертизы промышленной безопасности по объектам экспертизы,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Наличие аттестации в области промышленной безопасности руководителей и специалистов экспертной организации в аттестационной комиссии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соответствии с требованиями, Положения об аттестации экспертов в области промышленной безопасности, утверждённым постановлением Правительства Российской Федерации от 28 мая 2015 г. N 509.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режиму безопасности и гигиене труда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действующими нормативными документами РФ, ЛНД Заказчика;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действующими нормативными документами.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действующими нормативными документами.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Обязательное прохождение всеми сотрудниками противопожарного инструктажа у начальника объекта.</w:t>
            </w:r>
          </w:p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Мероприятия по обеспечению промышленной безопасности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требованиями ФЗ-116 от 21.07.1997г.</w:t>
            </w:r>
          </w:p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В соответствии с </w:t>
            </w:r>
            <w:proofErr w:type="gram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требованиями  Федеральных</w:t>
            </w:r>
            <w:proofErr w:type="gram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норм и правил в области промышленной безопасности "Правила промышленной безопасности складов нефти и нефтепродуктов", утвержденные приказом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15 декабря 2020 г. N 529.</w:t>
            </w:r>
          </w:p>
          <w:p w:rsidR="00E5160D" w:rsidRPr="00E5160D" w:rsidRDefault="00E5160D" w:rsidP="00E5160D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действующими нормативными документами РФ, ЛНД Заказчика.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пропускного режима при оказании услуг на территории.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составу и оформлению исполнительной документации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 соответствии с п.8 Технического задания.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2 экземпляра на бумажных носителях и 2 экземпляра в электронном виде в формате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Word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pdf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E5160D" w:rsidRPr="00E5160D" w:rsidTr="00E5440B">
        <w:trPr>
          <w:trHeight w:val="1459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Материалы, представляемые Заказчиком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Свидетельство о регистрации ОПО в государственном реестре.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Имеющиеся предыдущие заключения экспертизы промышленной безопасности.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Технологические схемы. 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231E76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согласований с федеральными надзорными органами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Внесение заключения ЭПБ технологических трубопроводов,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 /АО 1 -12025-0004/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E5160D" w:rsidRPr="00E5160D" w:rsidTr="00E5440B">
        <w:trPr>
          <w:trHeight w:val="64"/>
        </w:trPr>
        <w:tc>
          <w:tcPr>
            <w:tcW w:w="487" w:type="dxa"/>
            <w:vAlign w:val="center"/>
          </w:tcPr>
          <w:p w:rsidR="00E5160D" w:rsidRPr="00E5160D" w:rsidRDefault="00E5160D" w:rsidP="00E5160D">
            <w:pPr>
              <w:numPr>
                <w:ilvl w:val="0"/>
                <w:numId w:val="37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Align w:val="center"/>
          </w:tcPr>
          <w:p w:rsidR="00E5160D" w:rsidRPr="00E5160D" w:rsidRDefault="00E5160D" w:rsidP="009D415D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7087" w:type="dxa"/>
          </w:tcPr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Лицензия на право выполнения экспертизы промышленной безопасности виды экспертизы ТУ, ЗС. (Пункт 2 статьи 13 Федерального закона от 21 июля 1997 г. N 116-ФЗ «О промышленной безопасности опасных производственных объектов»).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Документы, подтверждающие стаж работы (не менее 5 лет) экспертов (пункт 10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Удостоверения штатных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дефектоскопистов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ниже II уровня по каждому виду неразрушающего контроля необходимому для проведения экспертизы промышленной безопасности по объектам экспертизы, аттестованных в соответствии с требованиями (пункт 7.1. «Правил аттестации персонала в области неразрушающего контроля СДАНК-02-2020»). 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• Квалификационные удостоверения экспертов, привлекаемых для проведения экспертизы промышленной безопасности (пункт 19 «Положения об аттестации экспертов в области промышленной безопасности», утверждённым постановлением Правительства Российской Федерации от 28 мая 2015 г. N 509).</w:t>
            </w:r>
          </w:p>
          <w:p w:rsidR="00E5160D" w:rsidRPr="00E5160D" w:rsidRDefault="00E5160D" w:rsidP="00E5160D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• Свидетельство об аттестации лаборатории неразрушающего контроля (пункт 9 Приказа </w:t>
            </w:r>
            <w:proofErr w:type="spellStart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E516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01.12.2020 года №478 «Об утверждении федеральных норм и правил в области промышленной безопасности» Основные требования к проведению неразрушающего контроля технических устройств, зданий и сооружений на опасных производственных объектах) и (пункт 10.9.2. СДАНК-01-2020 «Правила аттестации и основные требования к лабораториям неразрушающего контроля»), либо действующего договора с соответствующей лабораторией.</w:t>
            </w:r>
          </w:p>
        </w:tc>
      </w:tr>
    </w:tbl>
    <w:p w:rsidR="00E5160D" w:rsidRPr="00E5160D" w:rsidRDefault="00E5160D" w:rsidP="00E5160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5160D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Приложение: Глоссарий сокращений. </w:t>
      </w:r>
    </w:p>
    <w:p w:rsidR="00E5160D" w:rsidRDefault="00E5160D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Default="006418B5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53B3A" w:rsidRDefault="00653B3A" w:rsidP="006418B5">
      <w:pPr>
        <w:rPr>
          <w:rFonts w:ascii="Times New Roman" w:hAnsi="Times New Roman"/>
          <w:b/>
          <w:sz w:val="20"/>
          <w:szCs w:val="20"/>
        </w:rPr>
      </w:pPr>
    </w:p>
    <w:p w:rsidR="006418B5" w:rsidRDefault="006418B5" w:rsidP="0037613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6418B5">
        <w:rPr>
          <w:rFonts w:ascii="Times New Roman" w:eastAsia="Times New Roman" w:hAnsi="Times New Roman"/>
          <w:sz w:val="20"/>
          <w:szCs w:val="24"/>
          <w:lang w:eastAsia="ru-RU"/>
        </w:rPr>
        <w:t>Приложение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6418B5">
        <w:rPr>
          <w:rFonts w:ascii="Times New Roman" w:eastAsia="Times New Roman" w:hAnsi="Times New Roman"/>
          <w:sz w:val="20"/>
          <w:szCs w:val="24"/>
          <w:lang w:eastAsia="ru-RU"/>
        </w:rPr>
        <w:t>к Техническому заданию от «___» ____________ 2022 г.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418B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Глоссарий сокращений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АО «ТЗС»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акционерное общество «</w:t>
      </w:r>
      <w:proofErr w:type="gramStart"/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Топливо-заправочный</w:t>
      </w:r>
      <w:proofErr w:type="gramEnd"/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сервис»;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ЖБО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жидкие бытовые отходы;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ГСМ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горюче-смазочных материалов;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ППН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proofErr w:type="spellStart"/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предперронный</w:t>
      </w:r>
      <w:proofErr w:type="spellEnd"/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пункт налива;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АЗС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автозаправочная станция;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КАЗС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автозаправочная станция контейнерного типа;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город;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а/п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аэропорт;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рег.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регистрационный;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РФ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Российская Федерация;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ФЗ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Федеральный закон;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ГК РФ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Гражданский кодекс Российской Федерации;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ЛНД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локальные нормативные документы;</w:t>
      </w:r>
    </w:p>
    <w:p w:rsidR="006418B5" w:rsidRPr="006418B5" w:rsidRDefault="006418B5" w:rsidP="006418B5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ОПО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опасный производственный объект;</w:t>
      </w:r>
    </w:p>
    <w:p w:rsidR="006418B5" w:rsidRPr="006418B5" w:rsidRDefault="006418B5" w:rsidP="006418B5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Pr="006418B5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6418B5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метр кубический;</w:t>
      </w:r>
    </w:p>
    <w:p w:rsidR="006418B5" w:rsidRPr="006418B5" w:rsidRDefault="006418B5" w:rsidP="006418B5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л.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литр;</w:t>
      </w:r>
    </w:p>
    <w:p w:rsidR="006418B5" w:rsidRPr="006418B5" w:rsidRDefault="006418B5" w:rsidP="006418B5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 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>– тонна;</w:t>
      </w:r>
    </w:p>
    <w:p w:rsidR="006418B5" w:rsidRPr="006418B5" w:rsidRDefault="006418B5" w:rsidP="006418B5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ПТС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– паспорт транспортного средства;</w:t>
      </w:r>
    </w:p>
    <w:p w:rsidR="006418B5" w:rsidRPr="006418B5" w:rsidRDefault="006418B5" w:rsidP="006418B5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ТУ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- технические устройства; </w:t>
      </w:r>
    </w:p>
    <w:p w:rsidR="006418B5" w:rsidRPr="006418B5" w:rsidRDefault="006418B5" w:rsidP="006418B5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418B5">
        <w:rPr>
          <w:rFonts w:ascii="Times New Roman" w:eastAsia="Times New Roman" w:hAnsi="Times New Roman"/>
          <w:b/>
          <w:sz w:val="20"/>
          <w:szCs w:val="20"/>
          <w:lang w:eastAsia="ru-RU"/>
        </w:rPr>
        <w:t>ЗС</w:t>
      </w:r>
      <w:r w:rsidRPr="006418B5">
        <w:rPr>
          <w:rFonts w:ascii="Times New Roman" w:eastAsia="Times New Roman" w:hAnsi="Times New Roman"/>
          <w:sz w:val="20"/>
          <w:szCs w:val="20"/>
          <w:lang w:eastAsia="ru-RU"/>
        </w:rPr>
        <w:t xml:space="preserve"> - здания и сооружения</w:t>
      </w:r>
    </w:p>
    <w:p w:rsidR="006418B5" w:rsidRDefault="006418B5" w:rsidP="006418B5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8B5" w:rsidRPr="00E5160D" w:rsidRDefault="006418B5" w:rsidP="006418B5">
      <w:pPr>
        <w:rPr>
          <w:rFonts w:ascii="Times New Roman" w:hAnsi="Times New Roman"/>
          <w:b/>
          <w:sz w:val="20"/>
          <w:szCs w:val="20"/>
        </w:rPr>
      </w:pPr>
    </w:p>
    <w:sectPr w:rsidR="006418B5" w:rsidRPr="00E5160D" w:rsidSect="00AC0239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D81" w:rsidRDefault="007F2D81" w:rsidP="000F05EF">
      <w:pPr>
        <w:spacing w:after="0" w:line="240" w:lineRule="auto"/>
      </w:pPr>
      <w:r>
        <w:separator/>
      </w:r>
    </w:p>
  </w:endnote>
  <w:end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38829"/>
      <w:docPartObj>
        <w:docPartGallery w:val="Page Numbers (Bottom of Page)"/>
        <w:docPartUnique/>
      </w:docPartObj>
    </w:sdtPr>
    <w:sdtEndPr/>
    <w:sdtContent>
      <w:p w:rsidR="006418B5" w:rsidRDefault="006418B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444">
          <w:rPr>
            <w:noProof/>
          </w:rPr>
          <w:t>11</w:t>
        </w:r>
        <w:r>
          <w:fldChar w:fldCharType="end"/>
        </w:r>
      </w:p>
    </w:sdtContent>
  </w:sdt>
  <w:p w:rsidR="006418B5" w:rsidRDefault="006418B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D81" w:rsidRDefault="007F2D81" w:rsidP="000F05EF">
      <w:pPr>
        <w:spacing w:after="0" w:line="240" w:lineRule="auto"/>
      </w:pPr>
      <w:r>
        <w:separator/>
      </w:r>
    </w:p>
  </w:footnote>
  <w:foot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25"/>
  </w:num>
  <w:num w:numId="4">
    <w:abstractNumId w:val="2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11"/>
  </w:num>
  <w:num w:numId="9">
    <w:abstractNumId w:val="15"/>
  </w:num>
  <w:num w:numId="10">
    <w:abstractNumId w:val="17"/>
  </w:num>
  <w:num w:numId="11">
    <w:abstractNumId w:val="19"/>
  </w:num>
  <w:num w:numId="12">
    <w:abstractNumId w:val="26"/>
  </w:num>
  <w:num w:numId="13">
    <w:abstractNumId w:val="27"/>
  </w:num>
  <w:num w:numId="14">
    <w:abstractNumId w:val="3"/>
  </w:num>
  <w:num w:numId="15">
    <w:abstractNumId w:val="24"/>
  </w:num>
  <w:num w:numId="16">
    <w:abstractNumId w:val="23"/>
  </w:num>
  <w:num w:numId="17">
    <w:abstractNumId w:val="31"/>
  </w:num>
  <w:num w:numId="18">
    <w:abstractNumId w:val="13"/>
  </w:num>
  <w:num w:numId="19">
    <w:abstractNumId w:val="9"/>
  </w:num>
  <w:num w:numId="20">
    <w:abstractNumId w:val="18"/>
  </w:num>
  <w:num w:numId="21">
    <w:abstractNumId w:val="30"/>
  </w:num>
  <w:num w:numId="22">
    <w:abstractNumId w:val="14"/>
  </w:num>
  <w:num w:numId="23">
    <w:abstractNumId w:val="36"/>
  </w:num>
  <w:num w:numId="24">
    <w:abstractNumId w:val="4"/>
  </w:num>
  <w:num w:numId="25">
    <w:abstractNumId w:val="29"/>
  </w:num>
  <w:num w:numId="26">
    <w:abstractNumId w:val="12"/>
  </w:num>
  <w:num w:numId="27">
    <w:abstractNumId w:val="35"/>
  </w:num>
  <w:num w:numId="28">
    <w:abstractNumId w:val="10"/>
  </w:num>
  <w:num w:numId="29">
    <w:abstractNumId w:val="22"/>
  </w:num>
  <w:num w:numId="30">
    <w:abstractNumId w:val="16"/>
  </w:num>
  <w:num w:numId="31">
    <w:abstractNumId w:val="34"/>
  </w:num>
  <w:num w:numId="32">
    <w:abstractNumId w:val="20"/>
  </w:num>
  <w:num w:numId="33">
    <w:abstractNumId w:val="7"/>
  </w:num>
  <w:num w:numId="34">
    <w:abstractNumId w:val="0"/>
  </w:num>
  <w:num w:numId="35">
    <w:abstractNumId w:val="33"/>
  </w:num>
  <w:num w:numId="36">
    <w:abstractNumId w:val="1"/>
  </w:num>
  <w:num w:numId="37">
    <w:abstractNumId w:val="32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05CC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1E76"/>
    <w:rsid w:val="002321D1"/>
    <w:rsid w:val="00250946"/>
    <w:rsid w:val="00253E42"/>
    <w:rsid w:val="00271444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2E0EF4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76135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18B5"/>
    <w:rsid w:val="00643E74"/>
    <w:rsid w:val="00646259"/>
    <w:rsid w:val="00650A3B"/>
    <w:rsid w:val="00653B3A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7F2D81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72FCB"/>
    <w:rsid w:val="0098478C"/>
    <w:rsid w:val="009924D5"/>
    <w:rsid w:val="009946EF"/>
    <w:rsid w:val="00997CBE"/>
    <w:rsid w:val="009D2E8E"/>
    <w:rsid w:val="009D3AFD"/>
    <w:rsid w:val="009D415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1C71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3F97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5160D"/>
    <w:rsid w:val="00E5440B"/>
    <w:rsid w:val="00E614F2"/>
    <w:rsid w:val="00E632D1"/>
    <w:rsid w:val="00E659A0"/>
    <w:rsid w:val="00E701B1"/>
    <w:rsid w:val="00E71EB6"/>
    <w:rsid w:val="00E7705F"/>
    <w:rsid w:val="00E82318"/>
    <w:rsid w:val="00E83B01"/>
    <w:rsid w:val="00EA183E"/>
    <w:rsid w:val="00EA7462"/>
    <w:rsid w:val="00EB26FA"/>
    <w:rsid w:val="00EC0662"/>
    <w:rsid w:val="00EC23DC"/>
    <w:rsid w:val="00EC7023"/>
    <w:rsid w:val="00EC7123"/>
    <w:rsid w:val="00ED306C"/>
    <w:rsid w:val="00ED731A"/>
    <w:rsid w:val="00EE38AD"/>
    <w:rsid w:val="00EF7A0E"/>
    <w:rsid w:val="00F00938"/>
    <w:rsid w:val="00F0134B"/>
    <w:rsid w:val="00F068C5"/>
    <w:rsid w:val="00F101B4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59"/>
    <w:rsid w:val="00E770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59"/>
    <w:rsid w:val="00E516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8F2A-211C-44EF-BF26-783F7A4E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11</Pages>
  <Words>3798</Words>
  <Characters>29174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102</cp:revision>
  <cp:lastPrinted>2021-02-10T08:56:00Z</cp:lastPrinted>
  <dcterms:created xsi:type="dcterms:W3CDTF">2020-11-11T13:42:00Z</dcterms:created>
  <dcterms:modified xsi:type="dcterms:W3CDTF">2022-02-21T12:36:00Z</dcterms:modified>
</cp:coreProperties>
</file>